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подведения итогов аукциона в электронной форме</w:t>
      </w:r>
      <w:r>
        <w:rPr>
          <w:sz w:val="28"/>
          <w:szCs w:val="28"/>
          <w:lang w:eastAsia="ru-RU"/>
        </w:rPr>
        <w:t xml:space="preserve"> по продаже изъят</w:t>
      </w:r>
      <w:r>
        <w:rPr>
          <w:sz w:val="28"/>
          <w:szCs w:val="28"/>
          <w:lang w:eastAsia="ru-RU"/>
        </w:rPr>
        <w:t xml:space="preserve">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 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ind w:firstLine="709"/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  <w:lang w:eastAsia="ru-RU"/>
        </w:rPr>
        <w:t xml:space="preserve">нежилого здания общей площадью общей площадью 849,7 </w:t>
      </w:r>
      <w:r>
        <w:rPr>
          <w:b/>
          <w:sz w:val="28"/>
          <w:szCs w:val="28"/>
          <w:lang w:eastAsia="ru-RU"/>
        </w:rPr>
        <w:t xml:space="preserve">кв.м</w:t>
      </w:r>
      <w:r>
        <w:rPr>
          <w:b/>
          <w:sz w:val="28"/>
          <w:szCs w:val="28"/>
          <w:lang w:eastAsia="ru-RU"/>
        </w:rPr>
        <w:t xml:space="preserve">., </w:t>
      </w:r>
      <w:r>
        <w:rPr>
          <w:b/>
          <w:sz w:val="28"/>
          <w:szCs w:val="28"/>
          <w:lang w:eastAsia="ru-RU"/>
        </w:rPr>
        <w:t xml:space="preserve">количество этажей: 3, в том числе подземных 1, кадастровый номер 52:18:0060052:249, являющегося объектом культурного наследия регионального значения – «Жилой дом», расположенного по адресу</w:t>
      </w:r>
      <w:r>
        <w:rPr>
          <w:b/>
          <w:sz w:val="28"/>
          <w:szCs w:val="28"/>
          <w:lang w:eastAsia="ru-RU"/>
        </w:rPr>
        <w:t xml:space="preserve">: Российская Федерация, Нижегородская область, городской округ город Нижний Новгород, город Нижний Новгород, улица Нижегородская, </w:t>
      </w:r>
      <w:r>
        <w:rPr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 xml:space="preserve">дом 19/29, на электронной торговой площадке </w:t>
      </w:r>
      <w:r>
        <w:rPr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 xml:space="preserve">АО «Российский аукционный дом» www.lot-online.ru</w:t>
      </w:r>
      <w:r>
        <w:rPr>
          <w:sz w:val="28"/>
          <w:szCs w:val="28"/>
        </w:rPr>
      </w:r>
    </w:p>
    <w:tbl>
      <w:tblPr>
        <w:tblStyle w:val="62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tcW w:w="5359" w:type="dxa"/>
            <w:textDirection w:val="lrTb"/>
            <w:noWrap w:val="false"/>
          </w:tcPr>
          <w:p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 января 2026 года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Продавец: Министерство имущественных и земельных отношений Нижегородской области.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электронной площадки: Акционерное общество «Российский аукционный дом»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 xml:space="preserve">АО «РАД»).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аукциона: Электронная площадка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АО «РАД» Lot-online.ru.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проведения </w:t>
      </w:r>
      <w:r>
        <w:rPr>
          <w:sz w:val="28"/>
          <w:szCs w:val="28"/>
        </w:rPr>
        <w:t xml:space="preserve">аукциона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января 2026 года, 09 часов 30 минут по московскому времени.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Код лота: </w:t>
      </w:r>
      <w:r>
        <w:rPr>
          <w:color w:val="000000" w:themeColor="text1"/>
          <w:sz w:val="28"/>
          <w:szCs w:val="28"/>
        </w:rPr>
        <w:t xml:space="preserve">1275191-4001-60-1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 xml:space="preserve">аукциона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Нежилое здание общей площадью 849,7 кв.м., количество этажей: 3, в том числе подземных 1, кадастровый номер 52:18:0060052:249, являющееся объектом культурного наследия регионального значения – «Жилой дом», расположенное по адресу: </w:t>
      </w:r>
      <w:r>
        <w:rPr>
          <w:sz w:val="28"/>
          <w:szCs w:val="28"/>
        </w:rPr>
        <w:t xml:space="preserve">Российская Федерация,</w:t>
      </w:r>
      <w:r>
        <w:rPr>
          <w:sz w:val="28"/>
          <w:szCs w:val="28"/>
        </w:rPr>
        <w:t xml:space="preserve"> Нижегородская область, городской округ город Нижний Новгород, город Нижний Новгород, улица Нижегородская, дом 19/29 (далее – Объект) (документ о включении объекта культурного наследия в единый государственный реестр объектов культурного наследия (памятник</w:t>
      </w:r>
      <w:r>
        <w:rPr>
          <w:sz w:val="28"/>
          <w:szCs w:val="28"/>
        </w:rPr>
        <w:t xml:space="preserve">ов истории и культуры) народов Российской Федерации утвержден Приказом управления государственной охраны объектов культурного наследия Нижегородской области «О включении выявленных объектов культурного наследия, расположенных, расположенных в городе Нижнем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Новгороде на улицах Большие Овраги, Луначарского, Нижегородской, Соревнования, Сергиевской, Ярославской и территории Кремля, в единый го</w:t>
      </w:r>
      <w:r>
        <w:rPr>
          <w:sz w:val="28"/>
          <w:szCs w:val="28"/>
        </w:rPr>
        <w:t xml:space="preserve">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регионального значения, утверждении границ и режима использования их территорий» от 14.04.2020 № 150).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Объекта – физическое лицо.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из выписок из Единого государственного реестра недвижимости на Объект установлены ограничения и обременения, в том числе: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Охранным обязательством собственника или иного законного владельца объекта культурного наследия регионального значения «Жилой дом», расположенного по адресу: </w:t>
      </w:r>
      <w:r>
        <w:rPr>
          <w:sz w:val="28"/>
          <w:szCs w:val="28"/>
        </w:rPr>
        <w:t xml:space="preserve">Росси</w:t>
      </w:r>
      <w:r>
        <w:rPr>
          <w:sz w:val="28"/>
          <w:szCs w:val="28"/>
        </w:rPr>
        <w:t xml:space="preserve">йская Федерация, Нижегородская область, городской округ город Нижний Новгород, город Нижний Новгород, улица Нижегородская, дом 19/29, утвержденным приказом управления государственной охраны объектов культурного наследия Нижегородской области от 24.10.2025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46 (далее – Охранное обязательство),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запрещение регистрации на основании определения Нижегородского районного суда от 25.05.2023 по делу № 2-6365/2023.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покупатель обязан выполнять требования, предусмотренные Охранным обязательством, порядок и условия его выполнения, а также требования, установленные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1-3 ст. 47.3 Федерального закона от 25.06.2002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 и статьей 56 Земельного кодекса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расположен на земельном участке площадью 1136 кв</w:t>
      </w:r>
      <w:r>
        <w:rPr>
          <w:sz w:val="28"/>
          <w:szCs w:val="28"/>
        </w:rPr>
        <w:t xml:space="preserve">.м</w:t>
      </w:r>
      <w:r>
        <w:rPr>
          <w:sz w:val="28"/>
          <w:szCs w:val="28"/>
        </w:rPr>
        <w:t xml:space="preserve">, кадастровый номер 52:18:0</w:t>
      </w:r>
      <w:r>
        <w:rPr>
          <w:sz w:val="28"/>
          <w:szCs w:val="28"/>
        </w:rPr>
        <w:t xml:space="preserve">060052:48, категория земель: земли населенных пунктов, вид разрешенного использования: амбулаторно-поликлиническое обслуживание, местоположение: установлено относительно ориентира, расположенного в границах участка, почтовый адрес ориентира: Нижегородская </w:t>
      </w:r>
      <w:r>
        <w:rPr>
          <w:sz w:val="28"/>
          <w:szCs w:val="28"/>
        </w:rPr>
        <w:t xml:space="preserve">обл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ижний</w:t>
      </w:r>
      <w:r>
        <w:rPr>
          <w:sz w:val="28"/>
          <w:szCs w:val="28"/>
        </w:rPr>
        <w:t xml:space="preserve"> Новгород, Нижегородский район, </w:t>
      </w:r>
      <w:r>
        <w:rPr>
          <w:sz w:val="28"/>
          <w:szCs w:val="28"/>
        </w:rPr>
        <w:t xml:space="preserve">ул.Нижегородская</w:t>
      </w:r>
      <w:r>
        <w:rPr>
          <w:sz w:val="28"/>
          <w:szCs w:val="28"/>
        </w:rPr>
        <w:t xml:space="preserve">, 19/29.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выполнения реставрационно - ремонтных работ (восстановительных работ) в отношении объекта культурного наследия регионального значен</w:t>
      </w:r>
      <w:r>
        <w:rPr>
          <w:sz w:val="28"/>
          <w:szCs w:val="28"/>
        </w:rPr>
        <w:t xml:space="preserve">ия - объекта культурного наследия регионального значения «Жилой дом», расположенного по адресу: Российская Федерация, Нижегородская область, городской округ город Нижний Новгород, город Нижний Новгород, улица Нижегородская, дом 19/29 составляет 229 711,72 </w:t>
      </w:r>
      <w:r>
        <w:rPr>
          <w:sz w:val="28"/>
          <w:szCs w:val="28"/>
        </w:rPr>
        <w:t xml:space="preserve">тыс</w:t>
      </w:r>
      <w:r>
        <w:rPr>
          <w:sz w:val="28"/>
          <w:szCs w:val="28"/>
        </w:rPr>
        <w:t xml:space="preserve">.р</w:t>
      </w:r>
      <w:r>
        <w:rPr>
          <w:sz w:val="28"/>
          <w:szCs w:val="28"/>
        </w:rPr>
        <w:t xml:space="preserve">ублей</w:t>
      </w:r>
      <w:r>
        <w:rPr>
          <w:sz w:val="28"/>
          <w:szCs w:val="28"/>
        </w:rPr>
        <w:t xml:space="preserve">, согласно отчету ГАУ НО «Научно-производственный центр по сохранению объектов культурного наследия Нижегородской области» (письмо от 24.10.2025 </w:t>
      </w:r>
      <w:r>
        <w:rPr>
          <w:sz w:val="28"/>
          <w:szCs w:val="28"/>
        </w:rPr>
        <w:br/>
        <w:t xml:space="preserve">№ Сл-963419/25) о стоимости восстановительных работ в отношении объекта культурного наследия регионального значения «Жилой дом» 2-я пол. XIX - начало XX в. (г. Нижний Новгород, ул. </w:t>
      </w:r>
      <w:r>
        <w:rPr>
          <w:sz w:val="28"/>
          <w:szCs w:val="28"/>
        </w:rPr>
        <w:t xml:space="preserve">Нижегородская</w:t>
      </w:r>
      <w:r>
        <w:rPr>
          <w:sz w:val="28"/>
          <w:szCs w:val="28"/>
        </w:rPr>
        <w:t xml:space="preserve">, 19/29), представленному управлением государственной охраны объектов культурного наследия Нижегородской области.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аукциона: апелляционное определение Нижегородского областного суда от 21.10.2025 по делу № 33-163/2025.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–  7 307 420 рублей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задатка (20%) – 1 461 484 рублей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– 50 000 рублей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родавца: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признается участник, предложивший наиболее высокую цену в ходе проведения аукциона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бщество с ограниченной ответственностью </w:t>
      </w:r>
      <w:r>
        <w:rPr>
          <w:sz w:val="28"/>
          <w:szCs w:val="28"/>
        </w:rPr>
        <w:t xml:space="preserve">Специализированный застройщик «Строй-</w:t>
      </w:r>
      <w:r>
        <w:rPr>
          <w:sz w:val="28"/>
          <w:szCs w:val="28"/>
        </w:rPr>
        <w:t xml:space="preserve">Риэлти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 xml:space="preserve">Жавнис</w:t>
      </w:r>
      <w:r>
        <w:rPr>
          <w:sz w:val="28"/>
          <w:szCs w:val="28"/>
        </w:rPr>
        <w:t xml:space="preserve"> Анастасии </w:t>
      </w:r>
      <w:r>
        <w:rPr>
          <w:sz w:val="28"/>
          <w:szCs w:val="28"/>
        </w:rPr>
        <w:t xml:space="preserve">Михайловны</w:t>
      </w:r>
      <w:r>
        <w:rPr>
          <w:sz w:val="28"/>
          <w:szCs w:val="28"/>
        </w:rPr>
        <w:t xml:space="preserve">, предложивш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цену приобретения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057 4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семнадцать миллионов пятьдесят семь тысяч четыреста двадцать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НДС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Предпоследнее предложение по цене Имущества сделал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Гришаткин</w:t>
      </w:r>
      <w:r>
        <w:rPr>
          <w:sz w:val="28"/>
          <w:szCs w:val="28"/>
        </w:rPr>
        <w:t xml:space="preserve"> Денис Васильевич</w:t>
      </w:r>
      <w:r>
        <w:rPr>
          <w:sz w:val="28"/>
          <w:szCs w:val="28"/>
        </w:rPr>
        <w:t xml:space="preserve">, предложивший цену приобретения </w:t>
      </w:r>
      <w:r>
        <w:rPr>
          <w:sz w:val="28"/>
          <w:szCs w:val="28"/>
        </w:rPr>
        <w:t xml:space="preserve">Объекта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</w:rPr>
        <w:t xml:space="preserve">7 007 420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семнадцать миллионов семь тысяч четыреста двадцать рублей)</w:t>
      </w:r>
      <w:r>
        <w:rPr>
          <w:sz w:val="28"/>
          <w:szCs w:val="28"/>
        </w:rPr>
        <w:t xml:space="preserve"> с учетом НДС.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не позднее 10 рабочих дней со дня подписания протокола об итогах аукциона победителю аукциона либо единственному участнику аукциона направляет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подписанн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купли-продажи изъятого имущества.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договор купли-продажи в течение тридцати дней со дня направления победителю аукциона или единственному участнику не был им подписан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 договор </w:t>
      </w:r>
      <w:r>
        <w:rPr>
          <w:sz w:val="28"/>
          <w:szCs w:val="28"/>
        </w:rPr>
        <w:t xml:space="preserve">предлагает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заключить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r>
        <w:rPr>
          <w:sz w:val="28"/>
          <w:szCs w:val="28"/>
        </w:rPr>
      </w:r>
    </w:p>
    <w:p>
      <w:pPr>
        <w:ind w:firstLine="709"/>
        <w:jc w:val="both"/>
      </w:pPr>
      <w:r/>
      <w:bookmarkStart w:id="1" w:name="_Hlk119921019"/>
      <w:r/>
      <w:bookmarkEnd w:id="1"/>
      <w:r/>
      <w:r/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Состав комиссии  –   8 человек.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Присутствуют –  6 человек. Кворум  имеется.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Председатель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 А.К. </w:t>
      </w:r>
      <w:r>
        <w:rPr>
          <w:sz w:val="28"/>
        </w:rPr>
        <w:t xml:space="preserve">Газизов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Заместите</w:t>
      </w:r>
      <w:r>
        <w:rPr>
          <w:sz w:val="28"/>
        </w:rPr>
        <w:t xml:space="preserve">ль председателя комиссии   </w:t>
      </w:r>
      <w:r>
        <w:rPr>
          <w:sz w:val="28"/>
        </w:rPr>
        <w:t xml:space="preserve">  </w:t>
      </w:r>
      <w:r>
        <w:rPr>
          <w:sz w:val="28"/>
        </w:rPr>
        <w:t xml:space="preserve">    </w:t>
      </w:r>
      <w:r>
        <w:rPr>
          <w:sz w:val="28"/>
        </w:rPr>
        <w:t xml:space="preserve">_________________ </w:t>
      </w:r>
      <w:r>
        <w:rPr>
          <w:sz w:val="28"/>
        </w:rPr>
        <w:t xml:space="preserve">В.П.Пильганов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Члены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__________________ О.Л. Гусева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__________________ </w:t>
      </w:r>
      <w:r>
        <w:rPr>
          <w:sz w:val="28"/>
        </w:rPr>
        <w:t xml:space="preserve">А.А.Катаева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__________________ </w:t>
      </w:r>
      <w:r>
        <w:rPr>
          <w:sz w:val="28"/>
        </w:rPr>
        <w:t xml:space="preserve">А.А.Лыганов</w:t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________________</w:t>
      </w:r>
      <w:r>
        <w:rPr>
          <w:sz w:val="28"/>
        </w:rPr>
        <w:t xml:space="preserve"> </w:t>
      </w:r>
      <w:r>
        <w:rPr>
          <w:sz w:val="28"/>
        </w:rPr>
        <w:t xml:space="preserve">Е.В.Кислицына</w:t>
      </w:r>
      <w:r>
        <w:rPr>
          <w:sz w:val="28"/>
        </w:rPr>
      </w:r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</w:pPr>
      <w:r/>
      <w:r/>
    </w:p>
    <w:sectPr>
      <w:footnotePr/>
      <w:endnotePr/>
      <w:type w:val="nextPage"/>
      <w:pgSz w:w="11906" w:h="16838" w:orient="portrait"/>
      <w:pgMar w:top="1134" w:right="851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Знак примечания1"/>
    <w:rPr>
      <w:sz w:val="16"/>
      <w:szCs w:val="16"/>
    </w:rPr>
  </w:style>
  <w:style w:type="paragraph" w:styleId="622">
    <w:name w:val="Balloon Text"/>
    <w:basedOn w:val="617"/>
    <w:link w:val="623"/>
    <w:uiPriority w:val="99"/>
    <w:semiHidden/>
    <w:unhideWhenUsed/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624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5">
    <w:name w:val="annotation text"/>
    <w:basedOn w:val="617"/>
    <w:link w:val="626"/>
    <w:uiPriority w:val="99"/>
    <w:semiHidden/>
    <w:unhideWhenUsed/>
    <w:rPr>
      <w:sz w:val="20"/>
      <w:szCs w:val="20"/>
    </w:rPr>
  </w:style>
  <w:style w:type="character" w:styleId="626" w:customStyle="1">
    <w:name w:val="Текст примечания Знак"/>
    <w:basedOn w:val="618"/>
    <w:link w:val="625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627">
    <w:name w:val="annotation subject"/>
    <w:basedOn w:val="625"/>
    <w:next w:val="625"/>
    <w:link w:val="628"/>
    <w:uiPriority w:val="99"/>
    <w:semiHidden/>
    <w:unhideWhenUsed/>
    <w:rPr>
      <w:b/>
      <w:bCs/>
    </w:rPr>
  </w:style>
  <w:style w:type="character" w:styleId="628" w:customStyle="1">
    <w:name w:val="Тема примечания Знак"/>
    <w:basedOn w:val="626"/>
    <w:link w:val="62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table" w:styleId="62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0" w:customStyle="1">
    <w:name w:val="Леша2"/>
    <w:basedOn w:val="619"/>
    <w:next w:val="629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5="http://schemas.microsoft.com/office/word/2012/wordml" xmlns:m="http://schemas.openxmlformats.org/officeDocument/2006/math" xmlns:w14="http://schemas.microsoft.com/office/word/2010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EF38666-E21C-4CBD-8C73-8948C72E0340}">
  <ds:schemaRefs>
    <ds:schemaRef ds:uri="http://schemas.openxmlformats.org/wordprocessingml/2006/main"/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Windows 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13</cp:revision>
  <dcterms:created xsi:type="dcterms:W3CDTF">2026-01-30T11:21:00Z</dcterms:created>
  <dcterms:modified xsi:type="dcterms:W3CDTF">2026-02-03T13:03:20Z</dcterms:modified>
</cp:coreProperties>
</file>